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165C" w14:textId="486130BD" w:rsidR="006408DE" w:rsidRPr="007138B2" w:rsidRDefault="006408DE" w:rsidP="007138B2">
      <w:pPr>
        <w:spacing w:after="100" w:afterAutospacing="1" w:line="240" w:lineRule="auto"/>
        <w:jc w:val="center"/>
        <w:outlineLvl w:val="2"/>
        <w:rPr>
          <w:rFonts w:ascii="Times New Roman" w:eastAsia="Times New Roman" w:hAnsi="Times New Roman" w:cs="Times New Roman"/>
          <w:b/>
          <w:bCs/>
          <w:color w:val="000000"/>
          <w:sz w:val="28"/>
          <w:szCs w:val="28"/>
        </w:rPr>
      </w:pPr>
      <w:r w:rsidRPr="007138B2">
        <w:rPr>
          <w:rFonts w:ascii="Times New Roman" w:eastAsia="Times New Roman" w:hAnsi="Times New Roman" w:cs="Times New Roman"/>
          <w:b/>
          <w:bCs/>
          <w:color w:val="000000"/>
          <w:sz w:val="28"/>
          <w:szCs w:val="28"/>
        </w:rPr>
        <w:t>ODI Conformance Checklist</w:t>
      </w:r>
      <w:r w:rsidR="008E02D2" w:rsidRPr="007138B2">
        <w:rPr>
          <w:rFonts w:ascii="Times New Roman" w:eastAsia="Times New Roman" w:hAnsi="Times New Roman" w:cs="Times New Roman"/>
          <w:b/>
          <w:bCs/>
          <w:color w:val="000000"/>
          <w:sz w:val="28"/>
          <w:szCs w:val="28"/>
        </w:rPr>
        <w:t xml:space="preserve">: </w:t>
      </w:r>
      <w:r w:rsidR="00332921">
        <w:rPr>
          <w:rFonts w:ascii="Times New Roman" w:eastAsia="Times New Roman" w:hAnsi="Times New Roman" w:cs="Times New Roman"/>
          <w:b/>
          <w:bCs/>
          <w:color w:val="000000"/>
          <w:sz w:val="28"/>
          <w:szCs w:val="28"/>
        </w:rPr>
        <w:t>Library</w:t>
      </w:r>
    </w:p>
    <w:p w14:paraId="50A5E004" w14:textId="77777777" w:rsidR="00332921" w:rsidRDefault="00332921" w:rsidP="00332921">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Libraries are encouraged to take specific measures to assert their conformance with NISO RP-19-2020, the recommended practices of NISO’s </w:t>
      </w:r>
      <w:hyperlink r:id="rId8" w:history="1">
        <w:r>
          <w:rPr>
            <w:rStyle w:val="Hyperlink"/>
            <w:sz w:val="20"/>
            <w:szCs w:val="20"/>
          </w:rPr>
          <w:t>Open Discovery Initiative</w:t>
        </w:r>
      </w:hyperlink>
      <w:r>
        <w:rPr>
          <w:rFonts w:ascii="Times New Roman" w:eastAsia="Times New Roman" w:hAnsi="Times New Roman" w:cs="Times New Roman"/>
          <w:color w:val="000000"/>
          <w:sz w:val="20"/>
          <w:szCs w:val="20"/>
        </w:rPr>
        <w:t xml:space="preserve">. These measures are voluntarily made by each organization, in an effort to increase transparency and communications around pre-indexed or “web-scale” library discovery services. The ODI Conformance Checklist below was created to enable standardized methods for libraries to assert their ODI conformance to content providers, discovery services, and other industry stakeholders. </w:t>
      </w:r>
    </w:p>
    <w:tbl>
      <w:tblPr>
        <w:tblStyle w:val="TableGrid"/>
        <w:tblW w:w="9576" w:type="dxa"/>
        <w:jc w:val="center"/>
        <w:tblLayout w:type="fixed"/>
        <w:tblLook w:val="04A0" w:firstRow="1" w:lastRow="0" w:firstColumn="1" w:lastColumn="0" w:noHBand="0" w:noVBand="1"/>
      </w:tblPr>
      <w:tblGrid>
        <w:gridCol w:w="918"/>
        <w:gridCol w:w="4117"/>
        <w:gridCol w:w="1350"/>
        <w:gridCol w:w="3191"/>
      </w:tblGrid>
      <w:tr w:rsidR="00BB6524" w14:paraId="5B4E5171" w14:textId="77777777" w:rsidTr="00CD703A">
        <w:trPr>
          <w:jc w:val="center"/>
        </w:trPr>
        <w:tc>
          <w:tcPr>
            <w:tcW w:w="9576" w:type="dxa"/>
            <w:gridSpan w:val="4"/>
          </w:tcPr>
          <w:p w14:paraId="18F59092" w14:textId="77777777" w:rsidR="00BB6524" w:rsidRDefault="00BB6524" w:rsidP="00BB65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Organization name: ____________________________________ Date: _________________</w:t>
            </w:r>
          </w:p>
          <w:p w14:paraId="226A1903" w14:textId="68101E11" w:rsidR="00BB6524" w:rsidRDefault="00BB6524" w:rsidP="00BB6524">
            <w:pPr>
              <w:rPr>
                <w:rFonts w:ascii="Times New Roman" w:eastAsia="Times New Roman" w:hAnsi="Times New Roman" w:cs="Times New Roman"/>
                <w:color w:val="000000"/>
                <w:sz w:val="20"/>
                <w:szCs w:val="20"/>
              </w:rPr>
            </w:pPr>
            <w:r>
              <w:rPr>
                <w:rFonts w:ascii="Times New Roman" w:eastAsia="Times New Roman" w:hAnsi="Times New Roman" w:cs="Times New Roman"/>
                <w:bCs/>
                <w:sz w:val="24"/>
                <w:szCs w:val="24"/>
              </w:rPr>
              <w:t>Contact information: _________________________________________________________</w:t>
            </w:r>
            <w:r w:rsidR="003F28BC">
              <w:rPr>
                <w:rFonts w:ascii="Times New Roman" w:eastAsia="Times New Roman" w:hAnsi="Times New Roman" w:cs="Times New Roman"/>
                <w:bCs/>
                <w:sz w:val="24"/>
                <w:szCs w:val="24"/>
              </w:rPr>
              <w:br/>
            </w:r>
          </w:p>
        </w:tc>
      </w:tr>
      <w:tr w:rsidR="00BB6524" w14:paraId="3AB9E6ED" w14:textId="77777777" w:rsidTr="00332921">
        <w:trPr>
          <w:jc w:val="center"/>
        </w:trPr>
        <w:tc>
          <w:tcPr>
            <w:tcW w:w="918" w:type="dxa"/>
            <w:shd w:val="clear" w:color="auto" w:fill="31849B" w:themeFill="accent5" w:themeFillShade="BF"/>
          </w:tcPr>
          <w:p w14:paraId="66975595" w14:textId="2446FB58" w:rsidR="00BB6524" w:rsidRPr="00BB6524" w:rsidRDefault="00BB6524" w:rsidP="002C1E72">
            <w:pPr>
              <w:spacing w:before="100" w:beforeAutospacing="1" w:after="100" w:afterAutospacing="1"/>
              <w:jc w:val="center"/>
              <w:rPr>
                <w:rFonts w:ascii="Times New Roman" w:eastAsia="Times New Roman" w:hAnsi="Times New Roman" w:cs="Times New Roman"/>
                <w:b/>
                <w:bCs/>
                <w:color w:val="FFFFFF"/>
                <w:sz w:val="24"/>
                <w:szCs w:val="24"/>
              </w:rPr>
            </w:pPr>
            <w:r w:rsidRPr="00BB6524">
              <w:rPr>
                <w:rFonts w:ascii="Times New Roman" w:eastAsia="Times New Roman" w:hAnsi="Times New Roman" w:cs="Times New Roman"/>
                <w:b/>
                <w:bCs/>
                <w:color w:val="FFFFFF"/>
                <w:sz w:val="24"/>
                <w:szCs w:val="24"/>
              </w:rPr>
              <w:t>Y/</w:t>
            </w:r>
            <w:r w:rsidR="002C1E72">
              <w:rPr>
                <w:rFonts w:ascii="Times New Roman" w:eastAsia="Times New Roman" w:hAnsi="Times New Roman" w:cs="Times New Roman"/>
                <w:b/>
                <w:bCs/>
                <w:color w:val="FFFFFF"/>
                <w:sz w:val="24"/>
                <w:szCs w:val="24"/>
              </w:rPr>
              <w:t>P/</w:t>
            </w:r>
            <w:r w:rsidRPr="00BB6524">
              <w:rPr>
                <w:rFonts w:ascii="Times New Roman" w:eastAsia="Times New Roman" w:hAnsi="Times New Roman" w:cs="Times New Roman"/>
                <w:b/>
                <w:bCs/>
                <w:color w:val="FFFFFF"/>
                <w:sz w:val="24"/>
                <w:szCs w:val="24"/>
              </w:rPr>
              <w:t>N</w:t>
            </w:r>
          </w:p>
        </w:tc>
        <w:tc>
          <w:tcPr>
            <w:tcW w:w="4117" w:type="dxa"/>
            <w:shd w:val="clear" w:color="auto" w:fill="31849B" w:themeFill="accent5" w:themeFillShade="BF"/>
          </w:tcPr>
          <w:p w14:paraId="56BB26CB" w14:textId="734C76B2" w:rsidR="00BB6524" w:rsidRPr="00BB6524" w:rsidRDefault="00BB6524" w:rsidP="00BB6524">
            <w:pPr>
              <w:spacing w:before="100" w:beforeAutospacing="1" w:after="100" w:afterAutospacing="1"/>
              <w:jc w:val="center"/>
              <w:rPr>
                <w:rFonts w:ascii="Times New Roman" w:eastAsia="Times New Roman" w:hAnsi="Times New Roman" w:cs="Times New Roman"/>
                <w:b/>
                <w:bCs/>
                <w:color w:val="FFFFFF"/>
                <w:sz w:val="24"/>
                <w:szCs w:val="24"/>
              </w:rPr>
            </w:pPr>
            <w:r w:rsidRPr="00BB6524">
              <w:rPr>
                <w:rFonts w:ascii="Times New Roman" w:eastAsia="Times New Roman" w:hAnsi="Times New Roman" w:cs="Times New Roman"/>
                <w:b/>
                <w:bCs/>
                <w:color w:val="FFFFFF"/>
                <w:sz w:val="24"/>
                <w:szCs w:val="24"/>
              </w:rPr>
              <w:t>Recommendation</w:t>
            </w:r>
          </w:p>
        </w:tc>
        <w:tc>
          <w:tcPr>
            <w:tcW w:w="1350" w:type="dxa"/>
            <w:shd w:val="clear" w:color="auto" w:fill="31849B" w:themeFill="accent5" w:themeFillShade="BF"/>
          </w:tcPr>
          <w:p w14:paraId="64CC28A3" w14:textId="5225307E" w:rsidR="00BB6524" w:rsidRPr="00BB6524" w:rsidRDefault="002C1E72" w:rsidP="00BB6524">
            <w:pPr>
              <w:spacing w:before="100" w:beforeAutospacing="1" w:after="100" w:afterAutospacing="1"/>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Reference</w:t>
            </w:r>
          </w:p>
        </w:tc>
        <w:tc>
          <w:tcPr>
            <w:tcW w:w="3191" w:type="dxa"/>
            <w:shd w:val="clear" w:color="auto" w:fill="31849B" w:themeFill="accent5" w:themeFillShade="BF"/>
          </w:tcPr>
          <w:p w14:paraId="073FEED4" w14:textId="5D46BAD9" w:rsidR="00BB6524" w:rsidRPr="00BB6524" w:rsidRDefault="00BB6524" w:rsidP="00BB6524">
            <w:pPr>
              <w:spacing w:before="100" w:beforeAutospacing="1" w:after="100" w:afterAutospacing="1"/>
              <w:jc w:val="center"/>
              <w:rPr>
                <w:rFonts w:ascii="Times New Roman" w:eastAsia="Times New Roman" w:hAnsi="Times New Roman" w:cs="Times New Roman"/>
                <w:b/>
                <w:bCs/>
                <w:color w:val="FFFFFF"/>
                <w:sz w:val="24"/>
                <w:szCs w:val="24"/>
              </w:rPr>
            </w:pPr>
            <w:r w:rsidRPr="00BB6524">
              <w:rPr>
                <w:rFonts w:ascii="Times New Roman" w:eastAsia="Times New Roman" w:hAnsi="Times New Roman" w:cs="Times New Roman"/>
                <w:b/>
                <w:bCs/>
                <w:color w:val="FFFFFF"/>
                <w:sz w:val="24"/>
                <w:szCs w:val="24"/>
              </w:rPr>
              <w:t>Comment</w:t>
            </w:r>
          </w:p>
        </w:tc>
      </w:tr>
      <w:tr w:rsidR="00332921" w14:paraId="4DEDE21A" w14:textId="77777777" w:rsidTr="00332921">
        <w:trPr>
          <w:jc w:val="center"/>
        </w:trPr>
        <w:tc>
          <w:tcPr>
            <w:tcW w:w="918" w:type="dxa"/>
          </w:tcPr>
          <w:p w14:paraId="08DCD683"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1B1E0CD9" w14:textId="02A45E22"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designates individuals to be responsible for configuring Discovery Service, link resolver, proxy, and other discovery-related tools for subscribed content from Content Providers. Designated point persons should work or coordinate with each other.</w:t>
            </w:r>
          </w:p>
        </w:tc>
        <w:tc>
          <w:tcPr>
            <w:tcW w:w="1350" w:type="dxa"/>
          </w:tcPr>
          <w:p w14:paraId="6ADFAF94" w14:textId="23F11B6A" w:rsidR="00332921" w:rsidRPr="00332921" w:rsidRDefault="00332921" w:rsidP="0033292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(1)</w:t>
            </w:r>
          </w:p>
        </w:tc>
        <w:tc>
          <w:tcPr>
            <w:tcW w:w="3191" w:type="dxa"/>
          </w:tcPr>
          <w:p w14:paraId="225FBD4C"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25D598E6" w14:textId="77777777" w:rsidTr="00332921">
        <w:trPr>
          <w:jc w:val="center"/>
        </w:trPr>
        <w:tc>
          <w:tcPr>
            <w:tcW w:w="918" w:type="dxa"/>
          </w:tcPr>
          <w:p w14:paraId="3A07E2F3"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5B9A6682" w14:textId="150BF9E3"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enables linking, ranking, and authentication options available in the Discovery Service Tool for subscribed content from Content Providers, and seeks clarification if needed.</w:t>
            </w:r>
          </w:p>
        </w:tc>
        <w:tc>
          <w:tcPr>
            <w:tcW w:w="1350" w:type="dxa"/>
          </w:tcPr>
          <w:p w14:paraId="4D5B6816" w14:textId="126BBEBD" w:rsidR="00332921" w:rsidRPr="00332921" w:rsidRDefault="00332921" w:rsidP="0033292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(2)</w:t>
            </w:r>
          </w:p>
        </w:tc>
        <w:tc>
          <w:tcPr>
            <w:tcW w:w="3191" w:type="dxa"/>
          </w:tcPr>
          <w:p w14:paraId="46B4EC2F"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4C9BCEA6" w14:textId="77777777" w:rsidTr="00332921">
        <w:trPr>
          <w:jc w:val="center"/>
        </w:trPr>
        <w:tc>
          <w:tcPr>
            <w:tcW w:w="918" w:type="dxa"/>
          </w:tcPr>
          <w:p w14:paraId="0E577085"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4B84644D" w14:textId="53EF2A0F"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documents configuration decisions and the reasons behind these decisions.</w:t>
            </w:r>
          </w:p>
        </w:tc>
        <w:tc>
          <w:tcPr>
            <w:tcW w:w="1350" w:type="dxa"/>
          </w:tcPr>
          <w:p w14:paraId="3108AA7A" w14:textId="7C6473EE" w:rsidR="00332921" w:rsidRPr="00332921" w:rsidRDefault="00332921" w:rsidP="0033292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(3)</w:t>
            </w:r>
          </w:p>
        </w:tc>
        <w:tc>
          <w:tcPr>
            <w:tcW w:w="3191" w:type="dxa"/>
          </w:tcPr>
          <w:p w14:paraId="3480CF41"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38FDA7A4" w14:textId="77777777" w:rsidTr="00332921">
        <w:trPr>
          <w:jc w:val="center"/>
        </w:trPr>
        <w:tc>
          <w:tcPr>
            <w:tcW w:w="918" w:type="dxa"/>
          </w:tcPr>
          <w:p w14:paraId="18146EA6"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62E587FB" w14:textId="55B899CC"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regularly</w:t>
            </w:r>
            <w:r w:rsidRPr="00332921">
              <w:rPr>
                <w:rFonts w:ascii="Times New Roman" w:hAnsi="Times New Roman" w:cs="Times New Roman"/>
                <w:sz w:val="20"/>
                <w:szCs w:val="20"/>
              </w:rPr>
              <w:t xml:space="preserve"> </w:t>
            </w:r>
            <w:r w:rsidRPr="00332921">
              <w:rPr>
                <w:rFonts w:ascii="Times New Roman" w:hAnsi="Times New Roman" w:cs="Times New Roman"/>
                <w:color w:val="000000"/>
                <w:sz w:val="20"/>
                <w:szCs w:val="20"/>
              </w:rPr>
              <w:t>evaluates and updates its configurations of Discovery Service configurations.</w:t>
            </w:r>
          </w:p>
        </w:tc>
        <w:tc>
          <w:tcPr>
            <w:tcW w:w="1350" w:type="dxa"/>
          </w:tcPr>
          <w:p w14:paraId="1A9E926F" w14:textId="2B258BC9"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(4)</w:t>
            </w:r>
          </w:p>
        </w:tc>
        <w:tc>
          <w:tcPr>
            <w:tcW w:w="3191" w:type="dxa"/>
          </w:tcPr>
          <w:p w14:paraId="50647587"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67CA8128" w14:textId="77777777" w:rsidTr="00332921">
        <w:trPr>
          <w:jc w:val="center"/>
        </w:trPr>
        <w:tc>
          <w:tcPr>
            <w:tcW w:w="918" w:type="dxa"/>
          </w:tcPr>
          <w:p w14:paraId="7F0673D6"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596D054" w14:textId="252C41B2"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plans for system upgrades and seeks assistance from vendors if needed.</w:t>
            </w:r>
          </w:p>
        </w:tc>
        <w:tc>
          <w:tcPr>
            <w:tcW w:w="1350" w:type="dxa"/>
          </w:tcPr>
          <w:p w14:paraId="75C2FC75" w14:textId="2C44F547"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3.4.1.2 (1)</w:t>
            </w:r>
          </w:p>
        </w:tc>
        <w:tc>
          <w:tcPr>
            <w:tcW w:w="3191" w:type="dxa"/>
          </w:tcPr>
          <w:p w14:paraId="545BFB74"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39A705F5" w14:textId="77777777" w:rsidTr="00332921">
        <w:trPr>
          <w:jc w:val="center"/>
        </w:trPr>
        <w:tc>
          <w:tcPr>
            <w:tcW w:w="918" w:type="dxa"/>
          </w:tcPr>
          <w:p w14:paraId="4228AFAF"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2DE8987A" w14:textId="6127ADBA"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plans and documents for discovery tool changes and seeks assistance from vendors if needed.</w:t>
            </w:r>
          </w:p>
        </w:tc>
        <w:tc>
          <w:tcPr>
            <w:tcW w:w="1350" w:type="dxa"/>
          </w:tcPr>
          <w:p w14:paraId="4F2E5A3C" w14:textId="2B62CAA0"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3.4.1.2 (2)</w:t>
            </w:r>
          </w:p>
        </w:tc>
        <w:tc>
          <w:tcPr>
            <w:tcW w:w="3191" w:type="dxa"/>
          </w:tcPr>
          <w:p w14:paraId="40488870"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5F9BE798" w14:textId="77777777" w:rsidTr="00332921">
        <w:trPr>
          <w:jc w:val="center"/>
        </w:trPr>
        <w:tc>
          <w:tcPr>
            <w:tcW w:w="918" w:type="dxa"/>
          </w:tcPr>
          <w:p w14:paraId="171FE6B2"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DE1F602" w14:textId="24C51456"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selects the correct database collections available in the Discovery Service tool for subscribed content from Content Provider and seeks clarification from the Discovery Service Provider and Content Provider when needed.</w:t>
            </w:r>
          </w:p>
        </w:tc>
        <w:tc>
          <w:tcPr>
            <w:tcW w:w="1350" w:type="dxa"/>
          </w:tcPr>
          <w:p w14:paraId="20A77F2C" w14:textId="0BC544AC"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3.4.1.3</w:t>
            </w:r>
          </w:p>
        </w:tc>
        <w:tc>
          <w:tcPr>
            <w:tcW w:w="3191" w:type="dxa"/>
          </w:tcPr>
          <w:p w14:paraId="54C689A8"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7DD490C4" w14:textId="77777777" w:rsidTr="00332921">
        <w:trPr>
          <w:jc w:val="center"/>
        </w:trPr>
        <w:tc>
          <w:tcPr>
            <w:tcW w:w="918" w:type="dxa"/>
          </w:tcPr>
          <w:p w14:paraId="0CF493BB"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1DD42A61" w14:textId="4C297D2D"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works with the Discovery Service Provider to learn exactly what, if any, adjustments can be made to result ranking, boosting, and weighting, and seeks clarification if needed.</w:t>
            </w:r>
          </w:p>
        </w:tc>
        <w:tc>
          <w:tcPr>
            <w:tcW w:w="1350" w:type="dxa"/>
          </w:tcPr>
          <w:p w14:paraId="6F6A7C9D" w14:textId="0A6AA271"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3.4.1.4</w:t>
            </w:r>
          </w:p>
        </w:tc>
        <w:tc>
          <w:tcPr>
            <w:tcW w:w="3191" w:type="dxa"/>
          </w:tcPr>
          <w:p w14:paraId="633B87C6"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2BA1B3E6" w14:textId="77777777" w:rsidTr="00332921">
        <w:trPr>
          <w:jc w:val="center"/>
        </w:trPr>
        <w:tc>
          <w:tcPr>
            <w:tcW w:w="918" w:type="dxa"/>
          </w:tcPr>
          <w:p w14:paraId="66FB079A"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475F9DE0" w14:textId="1FD11DE4"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selects the correct holdings packages available in link resolver for the subscribed content from Content Providers and seeks clarification from the link resolver provider and Content Provider when needed.</w:t>
            </w:r>
          </w:p>
        </w:tc>
        <w:tc>
          <w:tcPr>
            <w:tcW w:w="1350" w:type="dxa"/>
          </w:tcPr>
          <w:p w14:paraId="3A3868AD" w14:textId="724F9A20"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3.4.1.5 (1)</w:t>
            </w:r>
          </w:p>
        </w:tc>
        <w:tc>
          <w:tcPr>
            <w:tcW w:w="3191" w:type="dxa"/>
          </w:tcPr>
          <w:p w14:paraId="21148792"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69099998" w14:textId="77777777" w:rsidTr="00332921">
        <w:trPr>
          <w:jc w:val="center"/>
        </w:trPr>
        <w:tc>
          <w:tcPr>
            <w:tcW w:w="918" w:type="dxa"/>
          </w:tcPr>
          <w:p w14:paraId="3DC712A7"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1923565B" w14:textId="7BF7EDCD"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regularly</w:t>
            </w:r>
            <w:r w:rsidRPr="00332921">
              <w:rPr>
                <w:rFonts w:ascii="Times New Roman" w:hAnsi="Times New Roman" w:cs="Times New Roman"/>
                <w:sz w:val="20"/>
                <w:szCs w:val="20"/>
              </w:rPr>
              <w:t xml:space="preserve"> </w:t>
            </w:r>
            <w:r w:rsidRPr="00332921">
              <w:rPr>
                <w:rFonts w:ascii="Times New Roman" w:hAnsi="Times New Roman" w:cs="Times New Roman"/>
                <w:color w:val="000000"/>
                <w:sz w:val="20"/>
                <w:szCs w:val="20"/>
              </w:rPr>
              <w:t>evaluates and updates its configurations of library link resolver configurations.</w:t>
            </w:r>
          </w:p>
        </w:tc>
        <w:tc>
          <w:tcPr>
            <w:tcW w:w="1350" w:type="dxa"/>
          </w:tcPr>
          <w:p w14:paraId="7BB491AF" w14:textId="269C5265"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3.4.1.5 (2)</w:t>
            </w:r>
          </w:p>
        </w:tc>
        <w:tc>
          <w:tcPr>
            <w:tcW w:w="3191" w:type="dxa"/>
          </w:tcPr>
          <w:p w14:paraId="5945E25B"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19512B78" w14:textId="77777777" w:rsidTr="00332921">
        <w:trPr>
          <w:jc w:val="center"/>
        </w:trPr>
        <w:tc>
          <w:tcPr>
            <w:tcW w:w="918" w:type="dxa"/>
          </w:tcPr>
          <w:p w14:paraId="4AC2F8A4"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4C98A23" w14:textId="6714CF2A"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configures the proxy server for discovery service</w:t>
            </w:r>
            <w:r w:rsidR="00795C23">
              <w:rPr>
                <w:rFonts w:ascii="Times New Roman" w:hAnsi="Times New Roman" w:cs="Times New Roman"/>
                <w:sz w:val="20"/>
                <w:szCs w:val="20"/>
              </w:rPr>
              <w:t xml:space="preserve">s and </w:t>
            </w:r>
            <w:r w:rsidRPr="00332921">
              <w:rPr>
                <w:rFonts w:ascii="Times New Roman" w:hAnsi="Times New Roman" w:cs="Times New Roman"/>
                <w:sz w:val="20"/>
                <w:szCs w:val="20"/>
              </w:rPr>
              <w:t>link resolver</w:t>
            </w:r>
            <w:r w:rsidR="00795C23">
              <w:rPr>
                <w:rFonts w:ascii="Times New Roman" w:hAnsi="Times New Roman" w:cs="Times New Roman"/>
                <w:sz w:val="20"/>
                <w:szCs w:val="20"/>
              </w:rPr>
              <w:t>s,</w:t>
            </w:r>
            <w:r w:rsidRPr="00332921">
              <w:rPr>
                <w:rFonts w:ascii="Times New Roman" w:hAnsi="Times New Roman" w:cs="Times New Roman"/>
                <w:sz w:val="20"/>
                <w:szCs w:val="20"/>
              </w:rPr>
              <w:t xml:space="preserve"> and seeks clarification if needed.</w:t>
            </w:r>
          </w:p>
        </w:tc>
        <w:tc>
          <w:tcPr>
            <w:tcW w:w="1350" w:type="dxa"/>
          </w:tcPr>
          <w:p w14:paraId="32C54366" w14:textId="71E7DDE0"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3.4.1.6</w:t>
            </w:r>
          </w:p>
        </w:tc>
        <w:tc>
          <w:tcPr>
            <w:tcW w:w="3191" w:type="dxa"/>
          </w:tcPr>
          <w:p w14:paraId="54B75BFF"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21B69A77" w14:textId="77777777" w:rsidTr="00332921">
        <w:trPr>
          <w:jc w:val="center"/>
        </w:trPr>
        <w:tc>
          <w:tcPr>
            <w:tcW w:w="918" w:type="dxa"/>
          </w:tcPr>
          <w:p w14:paraId="7F69820D"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0DAF33BF" w14:textId="654A8B9E"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works with vendors to create detailed agreements on what support the provider offers during and after implementation.</w:t>
            </w:r>
          </w:p>
        </w:tc>
        <w:tc>
          <w:tcPr>
            <w:tcW w:w="1350" w:type="dxa"/>
          </w:tcPr>
          <w:p w14:paraId="1560E627" w14:textId="296E399E"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3.4.2.1</w:t>
            </w:r>
          </w:p>
        </w:tc>
        <w:tc>
          <w:tcPr>
            <w:tcW w:w="3191" w:type="dxa"/>
          </w:tcPr>
          <w:p w14:paraId="416A2FBF"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3BB7BF7B" w14:textId="77777777" w:rsidTr="00332921">
        <w:trPr>
          <w:jc w:val="center"/>
        </w:trPr>
        <w:tc>
          <w:tcPr>
            <w:tcW w:w="918" w:type="dxa"/>
          </w:tcPr>
          <w:p w14:paraId="55EE70D0"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76AC776" w14:textId="4F2AA2AE"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Library regularly checks and evaluates </w:t>
            </w:r>
            <w:hyperlink r:id="rId9">
              <w:r w:rsidRPr="00332921">
                <w:rPr>
                  <w:rFonts w:ascii="Times New Roman" w:hAnsi="Times New Roman" w:cs="Times New Roman"/>
                  <w:sz w:val="20"/>
                  <w:szCs w:val="20"/>
                </w:rPr>
                <w:t>ODI Conformance Statements</w:t>
              </w:r>
            </w:hyperlink>
            <w:r w:rsidRPr="00332921">
              <w:rPr>
                <w:rFonts w:ascii="Times New Roman" w:hAnsi="Times New Roman" w:cs="Times New Roman"/>
                <w:sz w:val="20"/>
                <w:szCs w:val="20"/>
              </w:rPr>
              <w:t xml:space="preserve"> from Content Providers and Discovery Service Providers and </w:t>
            </w:r>
            <w:hyperlink r:id="rId10">
              <w:r w:rsidRPr="00332921">
                <w:rPr>
                  <w:rFonts w:ascii="Times New Roman" w:hAnsi="Times New Roman" w:cs="Times New Roman"/>
                  <w:sz w:val="20"/>
                  <w:szCs w:val="20"/>
                </w:rPr>
                <w:t>publisher-provided configuration guides for libraries</w:t>
              </w:r>
            </w:hyperlink>
            <w:r w:rsidRPr="00332921">
              <w:rPr>
                <w:rFonts w:ascii="Times New Roman" w:hAnsi="Times New Roman" w:cs="Times New Roman"/>
                <w:sz w:val="20"/>
                <w:szCs w:val="20"/>
              </w:rPr>
              <w:t>.</w:t>
            </w:r>
          </w:p>
        </w:tc>
        <w:tc>
          <w:tcPr>
            <w:tcW w:w="1350" w:type="dxa"/>
          </w:tcPr>
          <w:p w14:paraId="1672C2ED" w14:textId="41067D4A"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3.4.2.2 (1)</w:t>
            </w:r>
          </w:p>
        </w:tc>
        <w:tc>
          <w:tcPr>
            <w:tcW w:w="3191" w:type="dxa"/>
          </w:tcPr>
          <w:p w14:paraId="4BACB565"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2D2A3BD0" w14:textId="77777777" w:rsidTr="00332921">
        <w:trPr>
          <w:jc w:val="center"/>
        </w:trPr>
        <w:tc>
          <w:tcPr>
            <w:tcW w:w="918" w:type="dxa"/>
          </w:tcPr>
          <w:p w14:paraId="4A79178E"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22896E6A" w14:textId="1B91233E"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Library </w:t>
            </w:r>
            <w:hyperlink r:id="rId11">
              <w:r w:rsidRPr="00332921">
                <w:rPr>
                  <w:rFonts w:ascii="Times New Roman" w:hAnsi="Times New Roman" w:cs="Times New Roman"/>
                  <w:sz w:val="20"/>
                  <w:szCs w:val="20"/>
                </w:rPr>
                <w:t>advocates increasing ODI conformance for Content Providers</w:t>
              </w:r>
            </w:hyperlink>
            <w:r w:rsidRPr="00332921">
              <w:rPr>
                <w:rFonts w:ascii="Times New Roman" w:hAnsi="Times New Roman" w:cs="Times New Roman"/>
                <w:sz w:val="20"/>
                <w:szCs w:val="20"/>
              </w:rPr>
              <w:t xml:space="preserve"> and Discovery Service Providers.</w:t>
            </w:r>
          </w:p>
        </w:tc>
        <w:tc>
          <w:tcPr>
            <w:tcW w:w="1350" w:type="dxa"/>
          </w:tcPr>
          <w:p w14:paraId="0D5DAB75" w14:textId="23075EF2"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3.4.2.2 (2)</w:t>
            </w:r>
          </w:p>
        </w:tc>
        <w:tc>
          <w:tcPr>
            <w:tcW w:w="3191" w:type="dxa"/>
          </w:tcPr>
          <w:p w14:paraId="5D875DE6"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1F642BC5" w14:textId="77777777" w:rsidTr="00332921">
        <w:trPr>
          <w:jc w:val="center"/>
        </w:trPr>
        <w:tc>
          <w:tcPr>
            <w:tcW w:w="918" w:type="dxa"/>
          </w:tcPr>
          <w:p w14:paraId="508720C8"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6B0170FF" w14:textId="53DB15B5"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uses the vendor-provided tools to report missing, incomplete, or incorrect database collections, first to the Discovery Service Provider, and next to the Content Provider.</w:t>
            </w:r>
          </w:p>
        </w:tc>
        <w:tc>
          <w:tcPr>
            <w:tcW w:w="1350" w:type="dxa"/>
          </w:tcPr>
          <w:p w14:paraId="3158C665" w14:textId="27A51095"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3.4.2.3</w:t>
            </w:r>
          </w:p>
        </w:tc>
        <w:tc>
          <w:tcPr>
            <w:tcW w:w="3191" w:type="dxa"/>
          </w:tcPr>
          <w:p w14:paraId="35BFEFED"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6231B755" w14:textId="77777777" w:rsidTr="00332921">
        <w:trPr>
          <w:jc w:val="center"/>
        </w:trPr>
        <w:tc>
          <w:tcPr>
            <w:tcW w:w="918" w:type="dxa"/>
          </w:tcPr>
          <w:p w14:paraId="30A05A98"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12C04ECA" w14:textId="65CC995C"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develop</w:t>
            </w:r>
            <w:r>
              <w:rPr>
                <w:rFonts w:ascii="Times New Roman" w:hAnsi="Times New Roman" w:cs="Times New Roman"/>
                <w:sz w:val="20"/>
                <w:szCs w:val="20"/>
              </w:rPr>
              <w:t>s</w:t>
            </w:r>
            <w:r w:rsidRPr="00332921">
              <w:rPr>
                <w:rFonts w:ascii="Times New Roman" w:hAnsi="Times New Roman" w:cs="Times New Roman"/>
                <w:sz w:val="20"/>
                <w:szCs w:val="20"/>
              </w:rPr>
              <w:t xml:space="preserve"> and executes a staff training program for one or more staff members on managing the Discovery Service, link resolver, proxy, and other discovery-related tools.</w:t>
            </w:r>
          </w:p>
        </w:tc>
        <w:tc>
          <w:tcPr>
            <w:tcW w:w="1350" w:type="dxa"/>
          </w:tcPr>
          <w:p w14:paraId="769B5F7D" w14:textId="42DB4AD8"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bookmarkStart w:id="0" w:name="_Hlk27992864"/>
            <w:r w:rsidRPr="00332921">
              <w:rPr>
                <w:rFonts w:ascii="Times New Roman" w:hAnsi="Times New Roman" w:cs="Times New Roman"/>
                <w:sz w:val="20"/>
                <w:szCs w:val="20"/>
              </w:rPr>
              <w:t>3.4.3.1 (1)</w:t>
            </w:r>
            <w:bookmarkEnd w:id="0"/>
          </w:p>
        </w:tc>
        <w:tc>
          <w:tcPr>
            <w:tcW w:w="3191" w:type="dxa"/>
          </w:tcPr>
          <w:p w14:paraId="41AB42E2"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04E2F928" w14:textId="77777777" w:rsidTr="00332921">
        <w:trPr>
          <w:jc w:val="center"/>
        </w:trPr>
        <w:tc>
          <w:tcPr>
            <w:tcW w:w="918" w:type="dxa"/>
          </w:tcPr>
          <w:p w14:paraId="439B7E75"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F4F23D9" w14:textId="497D07B1"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provides regular training sessions to patrons and staff on how to use Discovery Service tool.</w:t>
            </w:r>
          </w:p>
        </w:tc>
        <w:tc>
          <w:tcPr>
            <w:tcW w:w="1350" w:type="dxa"/>
          </w:tcPr>
          <w:p w14:paraId="5A1F1166" w14:textId="0B461222"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3.4.3.1 (2) </w:t>
            </w:r>
          </w:p>
        </w:tc>
        <w:tc>
          <w:tcPr>
            <w:tcW w:w="3191" w:type="dxa"/>
          </w:tcPr>
          <w:p w14:paraId="74EB6086"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52EF166C" w14:textId="77777777" w:rsidTr="00332921">
        <w:trPr>
          <w:jc w:val="center"/>
        </w:trPr>
        <w:tc>
          <w:tcPr>
            <w:tcW w:w="918" w:type="dxa"/>
          </w:tcPr>
          <w:p w14:paraId="01AF87E7"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45FD5B1F" w14:textId="17F6B8FC"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staff read official documentation, announcements, and updates, and make relevant adjustments in configurations.</w:t>
            </w:r>
          </w:p>
        </w:tc>
        <w:tc>
          <w:tcPr>
            <w:tcW w:w="1350" w:type="dxa"/>
          </w:tcPr>
          <w:p w14:paraId="239D8291" w14:textId="38F766B7"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3.4.3.1 (3)</w:t>
            </w:r>
          </w:p>
        </w:tc>
        <w:tc>
          <w:tcPr>
            <w:tcW w:w="3191" w:type="dxa"/>
          </w:tcPr>
          <w:p w14:paraId="6CA6B809"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7E02C8BA" w14:textId="77777777" w:rsidTr="00332921">
        <w:trPr>
          <w:jc w:val="center"/>
        </w:trPr>
        <w:tc>
          <w:tcPr>
            <w:tcW w:w="918" w:type="dxa"/>
          </w:tcPr>
          <w:p w14:paraId="1B6CF38A"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DC7BB1E" w14:textId="6B1C3CF2"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staff join the online communities (listservs and forums) for the Discovery Service Providers, engage in dialogue, offer ideas and suggestions, and share innovative approaches created or implemented.</w:t>
            </w:r>
          </w:p>
        </w:tc>
        <w:tc>
          <w:tcPr>
            <w:tcW w:w="1350" w:type="dxa"/>
          </w:tcPr>
          <w:p w14:paraId="32623A67" w14:textId="7E89830B"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3.4.3.1 (4) </w:t>
            </w:r>
          </w:p>
        </w:tc>
        <w:tc>
          <w:tcPr>
            <w:tcW w:w="3191" w:type="dxa"/>
          </w:tcPr>
          <w:p w14:paraId="7D674659"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r w:rsidR="00332921" w14:paraId="6F4DF0FD" w14:textId="77777777" w:rsidTr="00332921">
        <w:trPr>
          <w:jc w:val="center"/>
        </w:trPr>
        <w:tc>
          <w:tcPr>
            <w:tcW w:w="918" w:type="dxa"/>
          </w:tcPr>
          <w:p w14:paraId="4CAA4E2B" w14:textId="77777777" w:rsidR="00332921" w:rsidRPr="00332921" w:rsidRDefault="00332921" w:rsidP="00332921">
            <w:pPr>
              <w:spacing w:before="100" w:beforeAutospacing="1" w:after="100" w:afterAutospacing="1"/>
              <w:rPr>
                <w:rFonts w:ascii="Times New Roman" w:eastAsia="Times New Roman" w:hAnsi="Times New Roman" w:cs="Times New Roman"/>
                <w:color w:val="000000"/>
                <w:sz w:val="20"/>
                <w:szCs w:val="20"/>
              </w:rPr>
            </w:pPr>
          </w:p>
        </w:tc>
        <w:tc>
          <w:tcPr>
            <w:tcW w:w="4117" w:type="dxa"/>
          </w:tcPr>
          <w:p w14:paraId="3C85AC8D" w14:textId="37411024"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staff on licensing, electronic resources, systems and front service regularly meet to discuss configuring Discovery Service, link resolver, proxy server, and other discovery-related tools for subscribed content.</w:t>
            </w:r>
          </w:p>
        </w:tc>
        <w:tc>
          <w:tcPr>
            <w:tcW w:w="1350" w:type="dxa"/>
          </w:tcPr>
          <w:p w14:paraId="6F396A65" w14:textId="01461AE9" w:rsidR="00332921" w:rsidRPr="00332921" w:rsidRDefault="00332921" w:rsidP="0033292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3.4.3.2</w:t>
            </w:r>
            <w:r w:rsidRPr="00332921">
              <w:rPr>
                <w:rFonts w:ascii="Times New Roman" w:hAnsi="Times New Roman" w:cs="Times New Roman"/>
                <w:sz w:val="20"/>
                <w:szCs w:val="20"/>
              </w:rPr>
              <w:br/>
            </w:r>
          </w:p>
        </w:tc>
        <w:tc>
          <w:tcPr>
            <w:tcW w:w="3191" w:type="dxa"/>
          </w:tcPr>
          <w:p w14:paraId="08B3A858" w14:textId="77777777" w:rsidR="00332921" w:rsidRPr="00332921" w:rsidRDefault="00332921" w:rsidP="00332921">
            <w:pPr>
              <w:spacing w:before="100" w:beforeAutospacing="1" w:after="100" w:afterAutospacing="1"/>
              <w:rPr>
                <w:rFonts w:ascii="Times New Roman" w:eastAsia="Times New Roman" w:hAnsi="Times New Roman" w:cs="Times New Roman"/>
                <w:color w:val="4F81BD" w:themeColor="accent1"/>
                <w:sz w:val="20"/>
                <w:szCs w:val="20"/>
              </w:rPr>
            </w:pPr>
          </w:p>
        </w:tc>
      </w:tr>
    </w:tbl>
    <w:p w14:paraId="19D125B0" w14:textId="77777777" w:rsidR="0081446D" w:rsidRDefault="0081446D" w:rsidP="0081446D">
      <w:pPr>
        <w:spacing w:after="0" w:line="240" w:lineRule="auto"/>
        <w:rPr>
          <w:rFonts w:ascii="Times New Roman" w:eastAsia="Times New Roman" w:hAnsi="Times New Roman" w:cs="Times New Roman"/>
          <w:color w:val="000000"/>
          <w:sz w:val="20"/>
          <w:szCs w:val="20"/>
        </w:rPr>
      </w:pPr>
    </w:p>
    <w:p w14:paraId="69EF92A5" w14:textId="77777777" w:rsidR="00EA2C02" w:rsidRDefault="00EA2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6E911FA" w14:textId="21BCFAD5" w:rsidR="00DE075F" w:rsidRPr="002C1E72" w:rsidRDefault="00DE075F" w:rsidP="009E54A5">
      <w:pPr>
        <w:spacing w:before="100" w:beforeAutospacing="1" w:after="0" w:line="240" w:lineRule="auto"/>
        <w:outlineLvl w:val="1"/>
        <w:rPr>
          <w:rFonts w:ascii="Times New Roman" w:eastAsia="Times New Roman" w:hAnsi="Times New Roman" w:cs="Times New Roman"/>
          <w:b/>
          <w:color w:val="000000"/>
          <w:sz w:val="24"/>
          <w:szCs w:val="24"/>
        </w:rPr>
      </w:pPr>
      <w:r w:rsidRPr="002C1E72">
        <w:rPr>
          <w:rFonts w:ascii="Times New Roman" w:eastAsia="Times New Roman" w:hAnsi="Times New Roman" w:cs="Times New Roman"/>
          <w:b/>
          <w:color w:val="000000"/>
          <w:sz w:val="24"/>
          <w:szCs w:val="24"/>
        </w:rPr>
        <w:lastRenderedPageBreak/>
        <w:t>Instructions</w:t>
      </w:r>
    </w:p>
    <w:p w14:paraId="51C51E81" w14:textId="77777777" w:rsidR="00332921" w:rsidRDefault="00332921" w:rsidP="0033292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Completion of this checklist requires adding the following responses to the first column of the checklist above:</w:t>
      </w:r>
    </w:p>
    <w:p w14:paraId="12301754" w14:textId="77777777" w:rsidR="00332921" w:rsidRDefault="00332921" w:rsidP="00332921">
      <w:pPr>
        <w:numPr>
          <w:ilvl w:val="0"/>
          <w:numId w:val="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"Y" (for Yes) indicates conformance with the indicated paragraph of this Recommended Practice.</w:t>
      </w:r>
    </w:p>
    <w:p w14:paraId="59FBAA89" w14:textId="77777777" w:rsidR="00332921" w:rsidRDefault="00332921" w:rsidP="003329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"P" (for Partial) indicates partial conformance for which explanatory comments should be entered in the last column.</w:t>
      </w:r>
    </w:p>
    <w:p w14:paraId="26CA2C61" w14:textId="77777777" w:rsidR="00332921" w:rsidRDefault="00332921" w:rsidP="00332921">
      <w:pPr>
        <w:numPr>
          <w:ilvl w:val="0"/>
          <w:numId w:val="2"/>
        </w:num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"N" (for No) indicates that the content provider does not conform with the recommendation. Explanatory comments may be added for any response.</w:t>
      </w:r>
    </w:p>
    <w:p w14:paraId="35153A37" w14:textId="77777777" w:rsidR="00332921" w:rsidRDefault="00332921" w:rsidP="0033292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document can be reformatted as needed and published in a variety of file types. For each recommendation, additional background is offered in the referenced sections of the Recommended Practice. Supplementary details, commentary, and materials are also encouraged in the last column, but these are not required. If you have questions or need assistance, please contact odi@niso.org.</w:t>
      </w:r>
    </w:p>
    <w:p w14:paraId="2434547E" w14:textId="77777777" w:rsidR="00DE075F" w:rsidRPr="00DE075F" w:rsidRDefault="00DE075F" w:rsidP="009E54A5">
      <w:pPr>
        <w:spacing w:before="100" w:beforeAutospacing="1" w:after="0" w:line="240" w:lineRule="auto"/>
        <w:outlineLvl w:val="1"/>
        <w:rPr>
          <w:rFonts w:ascii="Times New Roman" w:eastAsia="Times New Roman" w:hAnsi="Times New Roman" w:cs="Times New Roman"/>
          <w:color w:val="000000"/>
          <w:sz w:val="24"/>
          <w:szCs w:val="24"/>
        </w:rPr>
      </w:pPr>
      <w:r w:rsidRPr="00DE075F">
        <w:rPr>
          <w:rFonts w:ascii="Times New Roman" w:eastAsia="Times New Roman" w:hAnsi="Times New Roman" w:cs="Times New Roman"/>
          <w:b/>
          <w:color w:val="000000"/>
          <w:sz w:val="24"/>
          <w:szCs w:val="24"/>
        </w:rPr>
        <w:t>Scope</w:t>
      </w:r>
    </w:p>
    <w:p w14:paraId="1F6A107B" w14:textId="77777777" w:rsidR="00332921" w:rsidRDefault="00332921" w:rsidP="00332921">
      <w:pPr>
        <w:rPr>
          <w:rFonts w:ascii="Times New Roman" w:eastAsia="Times New Roman" w:hAnsi="Times New Roman" w:cs="Times New Roman"/>
          <w:color w:val="000000"/>
          <w:sz w:val="20"/>
          <w:szCs w:val="20"/>
        </w:rPr>
      </w:pPr>
      <w:r w:rsidRPr="00A12503">
        <w:rPr>
          <w:rFonts w:ascii="Times New Roman" w:eastAsia="Times New Roman" w:hAnsi="Times New Roman" w:cs="Times New Roman"/>
          <w:color w:val="000000"/>
          <w:sz w:val="20"/>
          <w:szCs w:val="20"/>
        </w:rPr>
        <w:t>Libraries are organization</w:t>
      </w:r>
      <w:r>
        <w:rPr>
          <w:rFonts w:ascii="Times New Roman" w:eastAsia="Times New Roman" w:hAnsi="Times New Roman" w:cs="Times New Roman"/>
          <w:color w:val="000000"/>
          <w:sz w:val="20"/>
          <w:szCs w:val="20"/>
        </w:rPr>
        <w:t>s</w:t>
      </w:r>
      <w:r w:rsidRPr="00A12503">
        <w:rPr>
          <w:rFonts w:ascii="Times New Roman" w:eastAsia="Times New Roman" w:hAnsi="Times New Roman" w:cs="Times New Roman"/>
          <w:color w:val="000000"/>
          <w:sz w:val="20"/>
          <w:szCs w:val="20"/>
        </w:rPr>
        <w:t xml:space="preserve"> that offer </w:t>
      </w:r>
      <w:r>
        <w:rPr>
          <w:rFonts w:ascii="Times New Roman" w:eastAsia="Times New Roman" w:hAnsi="Times New Roman" w:cs="Times New Roman"/>
          <w:color w:val="000000"/>
          <w:sz w:val="20"/>
          <w:szCs w:val="20"/>
        </w:rPr>
        <w:t>users</w:t>
      </w:r>
      <w:r w:rsidRPr="00A12503">
        <w:rPr>
          <w:rFonts w:ascii="Times New Roman" w:eastAsia="Times New Roman" w:hAnsi="Times New Roman" w:cs="Times New Roman"/>
          <w:color w:val="000000"/>
          <w:sz w:val="20"/>
          <w:szCs w:val="20"/>
        </w:rPr>
        <w:t xml:space="preserve"> access to information via a web</w:t>
      </w:r>
      <w:r>
        <w:rPr>
          <w:rFonts w:ascii="Times New Roman" w:eastAsia="Times New Roman" w:hAnsi="Times New Roman" w:cs="Times New Roman"/>
          <w:color w:val="000000"/>
          <w:sz w:val="20"/>
          <w:szCs w:val="20"/>
        </w:rPr>
        <w:t>-</w:t>
      </w:r>
      <w:r w:rsidRPr="00A12503">
        <w:rPr>
          <w:rFonts w:ascii="Times New Roman" w:eastAsia="Times New Roman" w:hAnsi="Times New Roman" w:cs="Times New Roman"/>
          <w:color w:val="000000"/>
          <w:sz w:val="20"/>
          <w:szCs w:val="20"/>
        </w:rPr>
        <w:t xml:space="preserve">scale discovery </w:t>
      </w:r>
      <w:r>
        <w:rPr>
          <w:rFonts w:ascii="Times New Roman" w:eastAsia="Times New Roman" w:hAnsi="Times New Roman" w:cs="Times New Roman"/>
          <w:color w:val="000000"/>
          <w:sz w:val="20"/>
          <w:szCs w:val="20"/>
        </w:rPr>
        <w:t>solution</w:t>
      </w:r>
      <w:r w:rsidRPr="00A12503">
        <w:rPr>
          <w:rFonts w:ascii="Times New Roman" w:eastAsia="Times New Roman" w:hAnsi="Times New Roman" w:cs="Times New Roman"/>
          <w:color w:val="000000"/>
          <w:sz w:val="20"/>
          <w:szCs w:val="20"/>
        </w:rPr>
        <w:t xml:space="preserve">, which reflects the library’s complete collection to the greatest extent possible so that </w:t>
      </w:r>
      <w:r>
        <w:rPr>
          <w:rFonts w:ascii="Times New Roman" w:eastAsia="Times New Roman" w:hAnsi="Times New Roman" w:cs="Times New Roman"/>
          <w:color w:val="000000"/>
          <w:sz w:val="20"/>
          <w:szCs w:val="20"/>
        </w:rPr>
        <w:t>users</w:t>
      </w:r>
      <w:r w:rsidRPr="00A12503">
        <w:rPr>
          <w:rFonts w:ascii="Times New Roman" w:eastAsia="Times New Roman" w:hAnsi="Times New Roman" w:cs="Times New Roman"/>
          <w:color w:val="000000"/>
          <w:sz w:val="20"/>
          <w:szCs w:val="20"/>
        </w:rPr>
        <w:t xml:space="preserve"> can search the library’s full offering.</w:t>
      </w:r>
    </w:p>
    <w:p w14:paraId="1DD3C81F" w14:textId="116F8E51" w:rsidR="006408DE" w:rsidRPr="009E54A5" w:rsidRDefault="006408DE" w:rsidP="009E54A5">
      <w:pPr>
        <w:spacing w:before="100" w:beforeAutospacing="1" w:after="0" w:line="240" w:lineRule="auto"/>
        <w:outlineLvl w:val="1"/>
        <w:rPr>
          <w:rFonts w:ascii="Times New Roman" w:eastAsia="Times New Roman" w:hAnsi="Times New Roman" w:cs="Times New Roman"/>
          <w:b/>
          <w:color w:val="000000"/>
          <w:sz w:val="24"/>
          <w:szCs w:val="24"/>
        </w:rPr>
      </w:pPr>
      <w:r w:rsidRPr="002C1E72">
        <w:rPr>
          <w:rFonts w:ascii="Times New Roman" w:eastAsia="Times New Roman" w:hAnsi="Times New Roman" w:cs="Times New Roman"/>
          <w:b/>
          <w:color w:val="000000"/>
          <w:sz w:val="24"/>
          <w:szCs w:val="24"/>
        </w:rPr>
        <w:t xml:space="preserve">About </w:t>
      </w:r>
      <w:r w:rsidR="00BF0681" w:rsidRPr="002C1E72">
        <w:rPr>
          <w:rFonts w:ascii="Times New Roman" w:eastAsia="Times New Roman" w:hAnsi="Times New Roman" w:cs="Times New Roman"/>
          <w:b/>
          <w:color w:val="000000"/>
          <w:sz w:val="24"/>
          <w:szCs w:val="24"/>
        </w:rPr>
        <w:t xml:space="preserve">the </w:t>
      </w:r>
      <w:r w:rsidRPr="009E54A5">
        <w:rPr>
          <w:rFonts w:ascii="Times New Roman" w:eastAsia="Times New Roman" w:hAnsi="Times New Roman" w:cs="Times New Roman"/>
          <w:b/>
          <w:color w:val="000000"/>
          <w:sz w:val="24"/>
          <w:szCs w:val="24"/>
        </w:rPr>
        <w:t>Open Discovery Initiative</w:t>
      </w:r>
    </w:p>
    <w:p w14:paraId="04864B4C" w14:textId="77777777" w:rsidR="00332921" w:rsidRPr="00332921" w:rsidRDefault="00332921" w:rsidP="00332921">
      <w:pPr>
        <w:spacing w:after="12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 xml:space="preserve">Nurtured by the National Information Standards Organization (NISO), the Open Discovery Initiative (ODI) aims at defining standards and/or best practices for the new generation of library discovery services that are based on indexed search. These discovery services are primarily based upon indexes derived from journals, </w:t>
      </w:r>
      <w:proofErr w:type="spellStart"/>
      <w:r w:rsidRPr="00332921">
        <w:rPr>
          <w:rFonts w:ascii="Times New Roman" w:eastAsia="Times New Roman" w:hAnsi="Times New Roman" w:cs="Times New Roman"/>
          <w:color w:val="000000"/>
          <w:sz w:val="20"/>
          <w:szCs w:val="20"/>
        </w:rPr>
        <w:t>ebooks</w:t>
      </w:r>
      <w:proofErr w:type="spellEnd"/>
      <w:r w:rsidRPr="00332921">
        <w:rPr>
          <w:rFonts w:ascii="Times New Roman" w:eastAsia="Times New Roman" w:hAnsi="Times New Roman" w:cs="Times New Roman"/>
          <w:color w:val="000000"/>
          <w:sz w:val="20"/>
          <w:szCs w:val="20"/>
        </w:rPr>
        <w:t xml:space="preserve"> and other electronic information of a scholarly nature. The content comes from a range of information providers and products—commercial, open access, institutional, etc.</w:t>
      </w:r>
    </w:p>
    <w:p w14:paraId="2F034800" w14:textId="77777777" w:rsidR="00332921" w:rsidRPr="00332921" w:rsidRDefault="00332921" w:rsidP="00332921">
      <w:pPr>
        <w:spacing w:after="12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Given the growing interest and activity in the interactions between information providers and discovery services, a more standard set of practices is required for the ways that content is represented in discovery services and for the interactions between the creators of these services and the information providers whose resources they represent.</w:t>
      </w:r>
    </w:p>
    <w:p w14:paraId="2BEDF3FB" w14:textId="77777777" w:rsidR="00332921" w:rsidRPr="00332921" w:rsidRDefault="00332921" w:rsidP="00332921">
      <w:pPr>
        <w:spacing w:after="12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 xml:space="preserve">The Recommended Practice was created by members of the ODI Working Group, which completed its work in June 2014 with the publication of NISO RP-19-2014.  NISO constituted a new </w:t>
      </w:r>
      <w:hyperlink r:id="rId12" w:history="1">
        <w:r w:rsidRPr="00332921">
          <w:rPr>
            <w:rStyle w:val="Hyperlink"/>
            <w:rFonts w:ascii="Times New Roman" w:hAnsi="Times New Roman" w:cs="Times New Roman"/>
            <w:sz w:val="20"/>
            <w:szCs w:val="20"/>
          </w:rPr>
          <w:t>Open Discovery Initiative Standing Committee</w:t>
        </w:r>
      </w:hyperlink>
      <w:r w:rsidRPr="00332921">
        <w:rPr>
          <w:rFonts w:ascii="Times New Roman" w:eastAsia="Times New Roman" w:hAnsi="Times New Roman" w:cs="Times New Roman"/>
          <w:color w:val="000000"/>
          <w:sz w:val="20"/>
          <w:szCs w:val="20"/>
        </w:rPr>
        <w:t xml:space="preserve"> following the approval of the ODI Recommended Practice. This standing committee has worked to facilitate the adoption of the principles of the Recommended Practice and to promote the adoption of conformance statements from discovery service providers and content providers. The committee has extended the work of the ODI Working Group by conducting additional surveys addressed to Content Providers, Discovery Service Providers, and to libraries to gather more extensive and recent data regarding the content discovery environment and to identify interest in enhancements to the Recommended Practice. Informed by these survey responses, the ODI Standing Committee has developed a </w:t>
      </w:r>
      <w:hyperlink r:id="rId13" w:history="1">
        <w:r w:rsidRPr="00332921">
          <w:rPr>
            <w:rStyle w:val="Hyperlink"/>
            <w:rFonts w:ascii="Times New Roman" w:hAnsi="Times New Roman" w:cs="Times New Roman"/>
            <w:sz w:val="20"/>
            <w:szCs w:val="20"/>
          </w:rPr>
          <w:t>revision to the Recommended Practice, NISO RP-19-2020</w:t>
        </w:r>
      </w:hyperlink>
      <w:r w:rsidRPr="00332921">
        <w:rPr>
          <w:rFonts w:ascii="Times New Roman" w:eastAsia="Times New Roman" w:hAnsi="Times New Roman" w:cs="Times New Roman"/>
          <w:color w:val="000000"/>
          <w:sz w:val="20"/>
          <w:szCs w:val="20"/>
        </w:rPr>
        <w:t>.</w:t>
      </w:r>
    </w:p>
    <w:p w14:paraId="62B59EB3" w14:textId="77777777" w:rsidR="00332921" w:rsidRPr="00332921" w:rsidRDefault="00332921" w:rsidP="00332921">
      <w:pPr>
        <w:spacing w:before="100" w:beforeAutospacing="1" w:after="12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The ODI Standing Committee is charged with the following tasks:</w:t>
      </w:r>
    </w:p>
    <w:p w14:paraId="6C9633E8" w14:textId="77777777" w:rsidR="00332921" w:rsidRPr="00332921" w:rsidRDefault="00332921" w:rsidP="00332921">
      <w:pPr>
        <w:numPr>
          <w:ilvl w:val="0"/>
          <w:numId w:val="1"/>
        </w:numPr>
        <w:spacing w:after="100" w:afterAutospacing="1"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Promotion and education of ODI Recommended Practice for all stakeholders</w:t>
      </w:r>
    </w:p>
    <w:p w14:paraId="59524749" w14:textId="77777777" w:rsidR="00332921" w:rsidRPr="00332921" w:rsidRDefault="00332921" w:rsidP="003329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Support for content providers and discovery service providers during adoption and completion of conformance checklists</w:t>
      </w:r>
    </w:p>
    <w:p w14:paraId="4485AD09" w14:textId="77777777" w:rsidR="00332921" w:rsidRPr="00332921" w:rsidRDefault="00332921" w:rsidP="003329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Provide a forum for ongoing discussion related to all aspects of discovery platforms for all stakeholders</w:t>
      </w:r>
    </w:p>
    <w:p w14:paraId="574C133A" w14:textId="77777777" w:rsidR="00332921" w:rsidRPr="00332921" w:rsidRDefault="00332921" w:rsidP="00332921">
      <w:pPr>
        <w:numPr>
          <w:ilvl w:val="0"/>
          <w:numId w:val="1"/>
        </w:numPr>
        <w:spacing w:before="100" w:beforeAutospacing="1" w:after="100" w:afterAutospacing="1"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Identify emerging needs in the open discovery space and determine appropriate courses of action</w:t>
      </w:r>
    </w:p>
    <w:p w14:paraId="1C8A738F" w14:textId="77777777" w:rsidR="00332921" w:rsidRPr="00332921" w:rsidRDefault="00332921" w:rsidP="00332921">
      <w:pPr>
        <w:numPr>
          <w:ilvl w:val="0"/>
          <w:numId w:val="1"/>
        </w:numPr>
        <w:spacing w:before="100" w:beforeAutospacing="1" w:after="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Make recommendations to the IDI (Information Discovery &amp; Interchange) topic committee on further work items required to fulfill the goals of the Open Discovery Initiative</w:t>
      </w:r>
    </w:p>
    <w:p w14:paraId="0680067A" w14:textId="77777777" w:rsidR="00332921" w:rsidRPr="00332921" w:rsidRDefault="00332921" w:rsidP="00332921">
      <w:pPr>
        <w:spacing w:before="120" w:after="0" w:line="240" w:lineRule="auto"/>
        <w:rPr>
          <w:rFonts w:ascii="Times New Roman" w:eastAsia="Times New Roman" w:hAnsi="Times New Roman" w:cs="Times New Roman"/>
          <w:color w:val="000000"/>
          <w:sz w:val="20"/>
          <w:szCs w:val="20"/>
        </w:rPr>
      </w:pPr>
      <w:r w:rsidRPr="00332921">
        <w:rPr>
          <w:rFonts w:ascii="Times New Roman" w:eastAsia="Times New Roman" w:hAnsi="Times New Roman" w:cs="Times New Roman"/>
          <w:color w:val="000000"/>
          <w:sz w:val="20"/>
          <w:szCs w:val="20"/>
        </w:rPr>
        <w:t>To learn more about ODI conformance, visit the </w:t>
      </w:r>
      <w:hyperlink r:id="rId14" w:history="1">
        <w:r w:rsidRPr="00332921">
          <w:rPr>
            <w:rStyle w:val="Hyperlink"/>
            <w:rFonts w:ascii="Times New Roman" w:hAnsi="Times New Roman" w:cs="Times New Roman"/>
            <w:sz w:val="20"/>
            <w:szCs w:val="20"/>
          </w:rPr>
          <w:t>Open Discovery Initiative workroom</w:t>
        </w:r>
      </w:hyperlink>
      <w:r w:rsidRPr="00332921">
        <w:rPr>
          <w:rFonts w:ascii="Times New Roman" w:eastAsia="Times New Roman" w:hAnsi="Times New Roman" w:cs="Times New Roman"/>
          <w:color w:val="000000"/>
          <w:sz w:val="20"/>
          <w:szCs w:val="20"/>
        </w:rPr>
        <w:t xml:space="preserve"> and download </w:t>
      </w:r>
      <w:hyperlink r:id="rId15" w:history="1">
        <w:r w:rsidRPr="00332921">
          <w:rPr>
            <w:rStyle w:val="Hyperlink"/>
            <w:rFonts w:ascii="Times New Roman" w:hAnsi="Times New Roman" w:cs="Times New Roman"/>
            <w:sz w:val="20"/>
            <w:szCs w:val="20"/>
          </w:rPr>
          <w:t>NISO RP-19-2020</w:t>
        </w:r>
      </w:hyperlink>
      <w:r w:rsidRPr="00332921">
        <w:rPr>
          <w:rFonts w:ascii="Times New Roman" w:eastAsia="Times New Roman" w:hAnsi="Times New Roman" w:cs="Times New Roman"/>
          <w:color w:val="000000"/>
          <w:sz w:val="20"/>
          <w:szCs w:val="20"/>
        </w:rPr>
        <w:t>.</w:t>
      </w:r>
    </w:p>
    <w:p w14:paraId="22B944DC" w14:textId="412D5E45" w:rsidR="006408DE" w:rsidRDefault="006408DE" w:rsidP="00332921">
      <w:pPr>
        <w:spacing w:after="120" w:line="240" w:lineRule="auto"/>
        <w:rPr>
          <w:rFonts w:ascii="Times New Roman" w:eastAsia="Times New Roman" w:hAnsi="Times New Roman" w:cs="Times New Roman"/>
          <w:color w:val="000000"/>
          <w:sz w:val="20"/>
          <w:szCs w:val="20"/>
        </w:rPr>
      </w:pPr>
    </w:p>
    <w:sectPr w:rsidR="006408D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4E084" w14:textId="77777777" w:rsidR="00D71C3C" w:rsidRDefault="00D71C3C" w:rsidP="0069507E">
      <w:pPr>
        <w:spacing w:after="0" w:line="240" w:lineRule="auto"/>
      </w:pPr>
      <w:r>
        <w:separator/>
      </w:r>
    </w:p>
  </w:endnote>
  <w:endnote w:type="continuationSeparator" w:id="0">
    <w:p w14:paraId="1E0FD055" w14:textId="77777777" w:rsidR="00D71C3C" w:rsidRDefault="00D71C3C" w:rsidP="0069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6BC8C" w14:textId="77777777" w:rsidR="00D71C3C" w:rsidRDefault="00D71C3C" w:rsidP="0069507E">
      <w:pPr>
        <w:spacing w:after="0" w:line="240" w:lineRule="auto"/>
      </w:pPr>
      <w:r>
        <w:separator/>
      </w:r>
    </w:p>
  </w:footnote>
  <w:footnote w:type="continuationSeparator" w:id="0">
    <w:p w14:paraId="17E2EBAB" w14:textId="77777777" w:rsidR="00D71C3C" w:rsidRDefault="00D71C3C" w:rsidP="0069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8ECE" w14:textId="63388810" w:rsidR="0069507E" w:rsidRDefault="00443DA4" w:rsidP="00443DA4">
    <w:pPr>
      <w:pStyle w:val="Header"/>
      <w:jc w:val="right"/>
    </w:pPr>
    <w:r>
      <w:rPr>
        <w:noProof/>
      </w:rPr>
      <w:drawing>
        <wp:anchor distT="0" distB="0" distL="0" distR="0" simplePos="0" relativeHeight="251658240" behindDoc="0" locked="0" layoutInCell="1" allowOverlap="0" wp14:anchorId="6EF01621" wp14:editId="3E3F1544">
          <wp:simplePos x="0" y="0"/>
          <wp:positionH relativeFrom="column">
            <wp:posOffset>371475</wp:posOffset>
          </wp:positionH>
          <wp:positionV relativeFrom="line">
            <wp:posOffset>-142875</wp:posOffset>
          </wp:positionV>
          <wp:extent cx="1114425" cy="1005840"/>
          <wp:effectExtent l="0" t="0" r="9525" b="3810"/>
          <wp:wrapSquare wrapText="bothSides"/>
          <wp:docPr id="2" name="Picture 2"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AA78F6" wp14:editId="0AC8A841">
          <wp:extent cx="2028825" cy="885825"/>
          <wp:effectExtent l="0" t="0" r="9525" b="9525"/>
          <wp:docPr id="3" name="Picture 3" descr="NISO How the information world CONN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O How the information world CONN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676EB"/>
    <w:multiLevelType w:val="multilevel"/>
    <w:tmpl w:val="C82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A30E2"/>
    <w:multiLevelType w:val="multilevel"/>
    <w:tmpl w:val="19F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E"/>
    <w:rsid w:val="000361C7"/>
    <w:rsid w:val="001476F6"/>
    <w:rsid w:val="00162858"/>
    <w:rsid w:val="001A08F9"/>
    <w:rsid w:val="00220D7B"/>
    <w:rsid w:val="002C1E72"/>
    <w:rsid w:val="00332921"/>
    <w:rsid w:val="003A5721"/>
    <w:rsid w:val="003C154F"/>
    <w:rsid w:val="003C3A39"/>
    <w:rsid w:val="003C5078"/>
    <w:rsid w:val="003F28BC"/>
    <w:rsid w:val="00443DA4"/>
    <w:rsid w:val="00554452"/>
    <w:rsid w:val="005916FE"/>
    <w:rsid w:val="005B1BD5"/>
    <w:rsid w:val="006408DE"/>
    <w:rsid w:val="0069507E"/>
    <w:rsid w:val="006B60E1"/>
    <w:rsid w:val="006B7999"/>
    <w:rsid w:val="007138B2"/>
    <w:rsid w:val="007746F2"/>
    <w:rsid w:val="00786755"/>
    <w:rsid w:val="007901AA"/>
    <w:rsid w:val="00795C23"/>
    <w:rsid w:val="007A0229"/>
    <w:rsid w:val="0081446D"/>
    <w:rsid w:val="008E02D2"/>
    <w:rsid w:val="00964A2F"/>
    <w:rsid w:val="009E54A5"/>
    <w:rsid w:val="00AE7875"/>
    <w:rsid w:val="00B86BDC"/>
    <w:rsid w:val="00B9168D"/>
    <w:rsid w:val="00BB58AF"/>
    <w:rsid w:val="00BB6524"/>
    <w:rsid w:val="00BF0681"/>
    <w:rsid w:val="00C442ED"/>
    <w:rsid w:val="00CD703A"/>
    <w:rsid w:val="00D71C3C"/>
    <w:rsid w:val="00DE075F"/>
    <w:rsid w:val="00E8223F"/>
    <w:rsid w:val="00EA2C02"/>
    <w:rsid w:val="00EB3992"/>
    <w:rsid w:val="00F11988"/>
    <w:rsid w:val="00F62447"/>
    <w:rsid w:val="00F90B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C8AB7"/>
  <w15:docId w15:val="{811BE4C2-791B-2C43-91DF-5995C7D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8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08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0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08DE"/>
  </w:style>
  <w:style w:type="character" w:styleId="Hyperlink">
    <w:name w:val="Hyperlink"/>
    <w:basedOn w:val="DefaultParagraphFont"/>
    <w:uiPriority w:val="99"/>
    <w:unhideWhenUsed/>
    <w:rsid w:val="006408DE"/>
    <w:rPr>
      <w:color w:val="0000FF"/>
      <w:u w:val="single"/>
    </w:rPr>
  </w:style>
  <w:style w:type="character" w:styleId="Strong">
    <w:name w:val="Strong"/>
    <w:basedOn w:val="DefaultParagraphFont"/>
    <w:uiPriority w:val="22"/>
    <w:qFormat/>
    <w:rsid w:val="006408DE"/>
    <w:rPr>
      <w:b/>
      <w:bCs/>
    </w:rPr>
  </w:style>
  <w:style w:type="table" w:styleId="TableGrid">
    <w:name w:val="Table Grid"/>
    <w:basedOn w:val="TableNormal"/>
    <w:uiPriority w:val="59"/>
    <w:rsid w:val="008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875"/>
    <w:rPr>
      <w:sz w:val="18"/>
      <w:szCs w:val="18"/>
    </w:rPr>
  </w:style>
  <w:style w:type="paragraph" w:styleId="CommentText">
    <w:name w:val="annotation text"/>
    <w:basedOn w:val="Normal"/>
    <w:link w:val="CommentTextChar"/>
    <w:uiPriority w:val="99"/>
    <w:semiHidden/>
    <w:unhideWhenUsed/>
    <w:rsid w:val="00AE7875"/>
    <w:pPr>
      <w:spacing w:line="240" w:lineRule="auto"/>
    </w:pPr>
    <w:rPr>
      <w:sz w:val="24"/>
      <w:szCs w:val="24"/>
    </w:rPr>
  </w:style>
  <w:style w:type="character" w:customStyle="1" w:styleId="CommentTextChar">
    <w:name w:val="Comment Text Char"/>
    <w:basedOn w:val="DefaultParagraphFont"/>
    <w:link w:val="CommentText"/>
    <w:uiPriority w:val="99"/>
    <w:semiHidden/>
    <w:rsid w:val="00AE7875"/>
    <w:rPr>
      <w:sz w:val="24"/>
      <w:szCs w:val="24"/>
    </w:rPr>
  </w:style>
  <w:style w:type="paragraph" w:styleId="CommentSubject">
    <w:name w:val="annotation subject"/>
    <w:basedOn w:val="CommentText"/>
    <w:next w:val="CommentText"/>
    <w:link w:val="CommentSubjectChar"/>
    <w:uiPriority w:val="99"/>
    <w:semiHidden/>
    <w:unhideWhenUsed/>
    <w:rsid w:val="00AE7875"/>
    <w:rPr>
      <w:b/>
      <w:bCs/>
      <w:sz w:val="20"/>
      <w:szCs w:val="20"/>
    </w:rPr>
  </w:style>
  <w:style w:type="character" w:customStyle="1" w:styleId="CommentSubjectChar">
    <w:name w:val="Comment Subject Char"/>
    <w:basedOn w:val="CommentTextChar"/>
    <w:link w:val="CommentSubject"/>
    <w:uiPriority w:val="99"/>
    <w:semiHidden/>
    <w:rsid w:val="00AE7875"/>
    <w:rPr>
      <w:b/>
      <w:bCs/>
      <w:sz w:val="20"/>
      <w:szCs w:val="20"/>
    </w:rPr>
  </w:style>
  <w:style w:type="paragraph" w:styleId="BalloonText">
    <w:name w:val="Balloon Text"/>
    <w:basedOn w:val="Normal"/>
    <w:link w:val="BalloonTextChar"/>
    <w:uiPriority w:val="99"/>
    <w:semiHidden/>
    <w:unhideWhenUsed/>
    <w:rsid w:val="00AE78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875"/>
    <w:rPr>
      <w:rFonts w:ascii="Lucida Grande" w:hAnsi="Lucida Grande" w:cs="Lucida Grande"/>
      <w:sz w:val="18"/>
      <w:szCs w:val="18"/>
    </w:rPr>
  </w:style>
  <w:style w:type="paragraph" w:styleId="Header">
    <w:name w:val="header"/>
    <w:basedOn w:val="Normal"/>
    <w:link w:val="HeaderChar"/>
    <w:uiPriority w:val="99"/>
    <w:unhideWhenUsed/>
    <w:rsid w:val="0069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07E"/>
  </w:style>
  <w:style w:type="paragraph" w:styleId="Footer">
    <w:name w:val="footer"/>
    <w:basedOn w:val="Normal"/>
    <w:link w:val="FooterChar"/>
    <w:uiPriority w:val="99"/>
    <w:unhideWhenUsed/>
    <w:rsid w:val="0069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7E"/>
  </w:style>
  <w:style w:type="paragraph" w:styleId="ListParagraph">
    <w:name w:val="List Paragraph"/>
    <w:basedOn w:val="Normal"/>
    <w:uiPriority w:val="34"/>
    <w:qFormat/>
    <w:rsid w:val="00443DA4"/>
    <w:pPr>
      <w:ind w:left="720"/>
      <w:contextualSpacing/>
    </w:pPr>
  </w:style>
  <w:style w:type="character" w:styleId="UnresolvedMention">
    <w:name w:val="Unresolved Mention"/>
    <w:basedOn w:val="DefaultParagraphFont"/>
    <w:uiPriority w:val="99"/>
    <w:semiHidden/>
    <w:unhideWhenUsed/>
    <w:rsid w:val="0078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4279">
      <w:bodyDiv w:val="1"/>
      <w:marLeft w:val="0"/>
      <w:marRight w:val="0"/>
      <w:marTop w:val="0"/>
      <w:marBottom w:val="0"/>
      <w:divBdr>
        <w:top w:val="none" w:sz="0" w:space="0" w:color="auto"/>
        <w:left w:val="none" w:sz="0" w:space="0" w:color="auto"/>
        <w:bottom w:val="none" w:sz="0" w:space="0" w:color="auto"/>
        <w:right w:val="none" w:sz="0" w:space="0" w:color="auto"/>
      </w:divBdr>
      <w:divsChild>
        <w:div w:id="1176992798">
          <w:marLeft w:val="0"/>
          <w:marRight w:val="0"/>
          <w:marTop w:val="0"/>
          <w:marBottom w:val="0"/>
          <w:divBdr>
            <w:top w:val="none" w:sz="0" w:space="0" w:color="auto"/>
            <w:left w:val="none" w:sz="0" w:space="0" w:color="auto"/>
            <w:bottom w:val="none" w:sz="0" w:space="0" w:color="auto"/>
            <w:right w:val="none" w:sz="0" w:space="0" w:color="auto"/>
          </w:divBdr>
        </w:div>
        <w:div w:id="1099252944">
          <w:marLeft w:val="0"/>
          <w:marRight w:val="0"/>
          <w:marTop w:val="0"/>
          <w:marBottom w:val="0"/>
          <w:divBdr>
            <w:top w:val="none" w:sz="0" w:space="0" w:color="auto"/>
            <w:left w:val="none" w:sz="0" w:space="0" w:color="auto"/>
            <w:bottom w:val="none" w:sz="0" w:space="0" w:color="auto"/>
            <w:right w:val="none" w:sz="0" w:space="0" w:color="auto"/>
          </w:divBdr>
        </w:div>
        <w:div w:id="2004550135">
          <w:marLeft w:val="0"/>
          <w:marRight w:val="0"/>
          <w:marTop w:val="0"/>
          <w:marBottom w:val="0"/>
          <w:divBdr>
            <w:top w:val="none" w:sz="0" w:space="0" w:color="auto"/>
            <w:left w:val="none" w:sz="0" w:space="0" w:color="auto"/>
            <w:bottom w:val="none" w:sz="0" w:space="0" w:color="auto"/>
            <w:right w:val="none" w:sz="0" w:space="0" w:color="auto"/>
          </w:divBdr>
        </w:div>
        <w:div w:id="2064599429">
          <w:marLeft w:val="0"/>
          <w:marRight w:val="0"/>
          <w:marTop w:val="0"/>
          <w:marBottom w:val="0"/>
          <w:divBdr>
            <w:top w:val="none" w:sz="0" w:space="0" w:color="auto"/>
            <w:left w:val="none" w:sz="0" w:space="0" w:color="auto"/>
            <w:bottom w:val="none" w:sz="0" w:space="0" w:color="auto"/>
            <w:right w:val="none" w:sz="0" w:space="0" w:color="auto"/>
          </w:divBdr>
        </w:div>
        <w:div w:id="589656780">
          <w:marLeft w:val="0"/>
          <w:marRight w:val="0"/>
          <w:marTop w:val="0"/>
          <w:marBottom w:val="0"/>
          <w:divBdr>
            <w:top w:val="none" w:sz="0" w:space="0" w:color="auto"/>
            <w:left w:val="none" w:sz="0" w:space="0" w:color="auto"/>
            <w:bottom w:val="none" w:sz="0" w:space="0" w:color="auto"/>
            <w:right w:val="none" w:sz="0" w:space="0" w:color="auto"/>
          </w:divBdr>
        </w:div>
        <w:div w:id="443423914">
          <w:marLeft w:val="0"/>
          <w:marRight w:val="0"/>
          <w:marTop w:val="0"/>
          <w:marBottom w:val="0"/>
          <w:divBdr>
            <w:top w:val="none" w:sz="0" w:space="0" w:color="auto"/>
            <w:left w:val="none" w:sz="0" w:space="0" w:color="auto"/>
            <w:bottom w:val="none" w:sz="0" w:space="0" w:color="auto"/>
            <w:right w:val="none" w:sz="0" w:space="0" w:color="auto"/>
          </w:divBdr>
        </w:div>
        <w:div w:id="972054960">
          <w:marLeft w:val="0"/>
          <w:marRight w:val="0"/>
          <w:marTop w:val="0"/>
          <w:marBottom w:val="0"/>
          <w:divBdr>
            <w:top w:val="none" w:sz="0" w:space="0" w:color="auto"/>
            <w:left w:val="none" w:sz="0" w:space="0" w:color="auto"/>
            <w:bottom w:val="none" w:sz="0" w:space="0" w:color="auto"/>
            <w:right w:val="none" w:sz="0" w:space="0" w:color="auto"/>
          </w:divBdr>
        </w:div>
        <w:div w:id="1147554691">
          <w:marLeft w:val="0"/>
          <w:marRight w:val="0"/>
          <w:marTop w:val="0"/>
          <w:marBottom w:val="0"/>
          <w:divBdr>
            <w:top w:val="none" w:sz="0" w:space="0" w:color="auto"/>
            <w:left w:val="none" w:sz="0" w:space="0" w:color="auto"/>
            <w:bottom w:val="none" w:sz="0" w:space="0" w:color="auto"/>
            <w:right w:val="none" w:sz="0" w:space="0" w:color="auto"/>
          </w:divBdr>
        </w:div>
        <w:div w:id="208687937">
          <w:marLeft w:val="0"/>
          <w:marRight w:val="0"/>
          <w:marTop w:val="0"/>
          <w:marBottom w:val="0"/>
          <w:divBdr>
            <w:top w:val="none" w:sz="0" w:space="0" w:color="auto"/>
            <w:left w:val="none" w:sz="0" w:space="0" w:color="auto"/>
            <w:bottom w:val="none" w:sz="0" w:space="0" w:color="auto"/>
            <w:right w:val="none" w:sz="0" w:space="0" w:color="auto"/>
          </w:divBdr>
        </w:div>
        <w:div w:id="206721767">
          <w:marLeft w:val="0"/>
          <w:marRight w:val="0"/>
          <w:marTop w:val="0"/>
          <w:marBottom w:val="0"/>
          <w:divBdr>
            <w:top w:val="none" w:sz="0" w:space="0" w:color="auto"/>
            <w:left w:val="none" w:sz="0" w:space="0" w:color="auto"/>
            <w:bottom w:val="none" w:sz="0" w:space="0" w:color="auto"/>
            <w:right w:val="none" w:sz="0" w:space="0" w:color="auto"/>
          </w:divBdr>
        </w:div>
        <w:div w:id="2004430043">
          <w:marLeft w:val="0"/>
          <w:marRight w:val="0"/>
          <w:marTop w:val="0"/>
          <w:marBottom w:val="0"/>
          <w:divBdr>
            <w:top w:val="none" w:sz="0" w:space="0" w:color="auto"/>
            <w:left w:val="none" w:sz="0" w:space="0" w:color="auto"/>
            <w:bottom w:val="none" w:sz="0" w:space="0" w:color="auto"/>
            <w:right w:val="none" w:sz="0" w:space="0" w:color="auto"/>
          </w:divBdr>
        </w:div>
        <w:div w:id="1571231106">
          <w:marLeft w:val="0"/>
          <w:marRight w:val="0"/>
          <w:marTop w:val="0"/>
          <w:marBottom w:val="0"/>
          <w:divBdr>
            <w:top w:val="none" w:sz="0" w:space="0" w:color="auto"/>
            <w:left w:val="none" w:sz="0" w:space="0" w:color="auto"/>
            <w:bottom w:val="none" w:sz="0" w:space="0" w:color="auto"/>
            <w:right w:val="none" w:sz="0" w:space="0" w:color="auto"/>
          </w:divBdr>
        </w:div>
        <w:div w:id="672953984">
          <w:marLeft w:val="0"/>
          <w:marRight w:val="0"/>
          <w:marTop w:val="0"/>
          <w:marBottom w:val="0"/>
          <w:divBdr>
            <w:top w:val="none" w:sz="0" w:space="0" w:color="auto"/>
            <w:left w:val="none" w:sz="0" w:space="0" w:color="auto"/>
            <w:bottom w:val="none" w:sz="0" w:space="0" w:color="auto"/>
            <w:right w:val="none" w:sz="0" w:space="0" w:color="auto"/>
          </w:divBdr>
        </w:div>
        <w:div w:id="924459818">
          <w:marLeft w:val="0"/>
          <w:marRight w:val="0"/>
          <w:marTop w:val="0"/>
          <w:marBottom w:val="0"/>
          <w:divBdr>
            <w:top w:val="none" w:sz="0" w:space="0" w:color="auto"/>
            <w:left w:val="none" w:sz="0" w:space="0" w:color="auto"/>
            <w:bottom w:val="none" w:sz="0" w:space="0" w:color="auto"/>
            <w:right w:val="none" w:sz="0" w:space="0" w:color="auto"/>
          </w:divBdr>
        </w:div>
        <w:div w:id="260795424">
          <w:marLeft w:val="0"/>
          <w:marRight w:val="0"/>
          <w:marTop w:val="0"/>
          <w:marBottom w:val="0"/>
          <w:divBdr>
            <w:top w:val="none" w:sz="0" w:space="0" w:color="auto"/>
            <w:left w:val="none" w:sz="0" w:space="0" w:color="auto"/>
            <w:bottom w:val="none" w:sz="0" w:space="0" w:color="auto"/>
            <w:right w:val="none" w:sz="0" w:space="0" w:color="auto"/>
          </w:divBdr>
        </w:div>
        <w:div w:id="1041511192">
          <w:marLeft w:val="0"/>
          <w:marRight w:val="0"/>
          <w:marTop w:val="0"/>
          <w:marBottom w:val="0"/>
          <w:divBdr>
            <w:top w:val="none" w:sz="0" w:space="0" w:color="auto"/>
            <w:left w:val="none" w:sz="0" w:space="0" w:color="auto"/>
            <w:bottom w:val="none" w:sz="0" w:space="0" w:color="auto"/>
            <w:right w:val="none" w:sz="0" w:space="0" w:color="auto"/>
          </w:divBdr>
        </w:div>
        <w:div w:id="848181174">
          <w:marLeft w:val="0"/>
          <w:marRight w:val="0"/>
          <w:marTop w:val="0"/>
          <w:marBottom w:val="0"/>
          <w:divBdr>
            <w:top w:val="none" w:sz="0" w:space="0" w:color="auto"/>
            <w:left w:val="none" w:sz="0" w:space="0" w:color="auto"/>
            <w:bottom w:val="none" w:sz="0" w:space="0" w:color="auto"/>
            <w:right w:val="none" w:sz="0" w:space="0" w:color="auto"/>
          </w:divBdr>
        </w:div>
        <w:div w:id="1590046210">
          <w:marLeft w:val="0"/>
          <w:marRight w:val="0"/>
          <w:marTop w:val="0"/>
          <w:marBottom w:val="0"/>
          <w:divBdr>
            <w:top w:val="none" w:sz="0" w:space="0" w:color="auto"/>
            <w:left w:val="none" w:sz="0" w:space="0" w:color="auto"/>
            <w:bottom w:val="none" w:sz="0" w:space="0" w:color="auto"/>
            <w:right w:val="none" w:sz="0" w:space="0" w:color="auto"/>
          </w:divBdr>
        </w:div>
        <w:div w:id="385881019">
          <w:marLeft w:val="0"/>
          <w:marRight w:val="0"/>
          <w:marTop w:val="0"/>
          <w:marBottom w:val="0"/>
          <w:divBdr>
            <w:top w:val="none" w:sz="0" w:space="0" w:color="auto"/>
            <w:left w:val="none" w:sz="0" w:space="0" w:color="auto"/>
            <w:bottom w:val="none" w:sz="0" w:space="0" w:color="auto"/>
            <w:right w:val="none" w:sz="0" w:space="0" w:color="auto"/>
          </w:divBdr>
        </w:div>
      </w:divsChild>
    </w:div>
    <w:div w:id="12488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standards-committees/odi/" TargetMode="External"/><Relationship Id="rId13" Type="http://schemas.openxmlformats.org/officeDocument/2006/relationships/hyperlink" Target="https://www.niso.org/publications/rp-19-2020-o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o.org/standards-committees/o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o.org/standards-committees/odi/library-talking-points" TargetMode="External"/><Relationship Id="rId5" Type="http://schemas.openxmlformats.org/officeDocument/2006/relationships/webSettings" Target="webSettings.xml"/><Relationship Id="rId15" Type="http://schemas.openxmlformats.org/officeDocument/2006/relationships/hyperlink" Target="https://www.niso.org/publications/rp-19-2020-odi" TargetMode="External"/><Relationship Id="rId10" Type="http://schemas.openxmlformats.org/officeDocument/2006/relationships/hyperlink" Target="https://www.niso.org/standards-committees/odi/configuring-content-providers" TargetMode="External"/><Relationship Id="rId4" Type="http://schemas.openxmlformats.org/officeDocument/2006/relationships/settings" Target="settings.xml"/><Relationship Id="rId9" Type="http://schemas.openxmlformats.org/officeDocument/2006/relationships/hyperlink" Target="https://www.niso.org/standards-committees/odi/completed-statements" TargetMode="External"/><Relationship Id="rId14" Type="http://schemas.openxmlformats.org/officeDocument/2006/relationships/hyperlink" Target="https://www.niso.org/standards-committees/od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6DC4-AA8E-E644-99C6-B4EFB482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Zhu</dc:creator>
  <cp:lastModifiedBy>Nettie Lagace</cp:lastModifiedBy>
  <cp:revision>7</cp:revision>
  <cp:lastPrinted>2015-04-29T18:27:00Z</cp:lastPrinted>
  <dcterms:created xsi:type="dcterms:W3CDTF">2020-08-07T16:50:00Z</dcterms:created>
  <dcterms:modified xsi:type="dcterms:W3CDTF">2020-11-06T21:44:00Z</dcterms:modified>
</cp:coreProperties>
</file>